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18.07.2025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18.07.2025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 publicznego żłobka w Sieciechowie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1 738 304,88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WOJTPOL Wojtysiak spółka jawna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Przemysłowa 1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26-900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Kozienice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2 272 000,00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